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B46022" w:rsidP="002E1AEC">
      <w:pPr>
        <w:jc w:val="center"/>
      </w:pPr>
      <w:r>
        <w:rPr>
          <w:sz w:val="32"/>
          <w:szCs w:val="32"/>
        </w:rPr>
        <w:t xml:space="preserve">Доклад об осуществлении государственного контроля (надзора), муниципального контроля </w:t>
      </w:r>
      <w:r w:rsidR="002E1AEC" w:rsidRPr="002E1AEC">
        <w:rPr>
          <w:sz w:val="32"/>
          <w:szCs w:val="32"/>
        </w:rPr>
        <w:t>за 202</w:t>
      </w:r>
      <w:r w:rsidR="00BF2D40">
        <w:rPr>
          <w:sz w:val="32"/>
          <w:szCs w:val="32"/>
        </w:rPr>
        <w:t>1</w:t>
      </w:r>
      <w:r w:rsidR="002E1AEC" w:rsidRPr="002E1AEC">
        <w:rPr>
          <w:sz w:val="32"/>
          <w:szCs w:val="32"/>
        </w:rPr>
        <w:t xml:space="preserve"> 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Перечень нормативных правовых актов, являющихся основанием для исполнения Департаментом архитектуры и строительства Томской области (далее - Департамент)  государственного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Жилищный кодекс Российской Федерации от 29.12.2004 № 188-ФЗ;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Федеральный закон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28.04.2015 № 415 «О Правилах формирования и ведения единого реестра проверок»;</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25.09.2018 № 1133 «Об установлении адреса сайта единой информационной системы жилищного строительства в информационно-телекоммуникационной сети «Интернет»;</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26.12.2018 № 1683 «О нормативах финансовой устойчивости деятельности застройщика»;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26.03.2019 № 319 «О единой информационной системе жилищного строительства»;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02.09.2020 № 1336 «Об утверждении требований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20.12.2016 № 996/</w:t>
      </w:r>
      <w:proofErr w:type="spellStart"/>
      <w:proofErr w:type="gramStart"/>
      <w:r w:rsidRPr="002E1AEC">
        <w:rPr>
          <w:lang w:eastAsia="ar-SA"/>
        </w:rPr>
        <w:t>пр</w:t>
      </w:r>
      <w:proofErr w:type="spellEnd"/>
      <w:proofErr w:type="gramEnd"/>
      <w:r w:rsidRPr="002E1AEC">
        <w:rPr>
          <w:lang w:eastAsia="ar-SA"/>
        </w:rPr>
        <w:t xml:space="preserve"> «Об утверждении формы проектной декларации»;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03.07.2017 № 955/</w:t>
      </w:r>
      <w:proofErr w:type="spellStart"/>
      <w:proofErr w:type="gramStart"/>
      <w:r w:rsidRPr="002E1AEC">
        <w:rPr>
          <w:lang w:eastAsia="ar-SA"/>
        </w:rPr>
        <w:t>пр</w:t>
      </w:r>
      <w:proofErr w:type="spellEnd"/>
      <w:proofErr w:type="gramEnd"/>
      <w:r w:rsidRPr="002E1AEC">
        <w:rPr>
          <w:lang w:eastAsia="ar-SA"/>
        </w:rPr>
        <w:t xml:space="preserve"> «Об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w:t>
      </w:r>
      <w:r w:rsidRPr="002E1AEC">
        <w:rPr>
          <w:lang w:eastAsia="ar-SA"/>
        </w:rPr>
        <w:lastRenderedPageBreak/>
        <w:t>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11.10.2018 № 653/</w:t>
      </w:r>
      <w:proofErr w:type="spellStart"/>
      <w:proofErr w:type="gramStart"/>
      <w:r w:rsidRPr="002E1AEC">
        <w:rPr>
          <w:lang w:eastAsia="ar-SA"/>
        </w:rPr>
        <w:t>пр</w:t>
      </w:r>
      <w:proofErr w:type="spellEnd"/>
      <w:proofErr w:type="gramEnd"/>
      <w:r w:rsidRPr="002E1AEC">
        <w:rPr>
          <w:lang w:eastAsia="ar-SA"/>
        </w:rPr>
        <w:t xml:space="preserve"> «Об утверждении формы заключения о соответствии застройщика и проектной декларации требованиям, установленным частями 1.1 и 2 статьи 3, статьями 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12.10.2018 № 656/</w:t>
      </w:r>
      <w:proofErr w:type="spellStart"/>
      <w:proofErr w:type="gramStart"/>
      <w:r w:rsidRPr="002E1AEC">
        <w:rPr>
          <w:lang w:eastAsia="ar-SA"/>
        </w:rPr>
        <w:t>пр</w:t>
      </w:r>
      <w:proofErr w:type="spellEnd"/>
      <w:proofErr w:type="gramEnd"/>
      <w:r w:rsidRPr="002E1AEC">
        <w:rPr>
          <w:lang w:eastAsia="ar-SA"/>
        </w:rPr>
        <w:t xml:space="preserve"> «Об утверждении формы и порядка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сводной накопительной ведомости проекта строительства»;</w:t>
      </w:r>
    </w:p>
    <w:p w:rsid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15.05.2019 № 278/</w:t>
      </w:r>
      <w:proofErr w:type="spellStart"/>
      <w:proofErr w:type="gramStart"/>
      <w:r w:rsidRPr="002E1AEC">
        <w:rPr>
          <w:lang w:eastAsia="ar-SA"/>
        </w:rPr>
        <w:t>пр</w:t>
      </w:r>
      <w:proofErr w:type="spellEnd"/>
      <w:proofErr w:type="gramEnd"/>
      <w:r w:rsidRPr="002E1AEC">
        <w:rPr>
          <w:lang w:eastAsia="ar-SA"/>
        </w:rPr>
        <w:t xml:space="preserve"> «Об утверждении порядка расчета норматива обеспеченности обязательств и норматива целевого использования средств»</w:t>
      </w:r>
      <w:r w:rsidR="00E24A2B">
        <w:rPr>
          <w:lang w:eastAsia="ar-SA"/>
        </w:rPr>
        <w:t>;</w:t>
      </w:r>
    </w:p>
    <w:p w:rsidR="00E24A2B" w:rsidRPr="002E1AEC" w:rsidRDefault="00E24A2B"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Pr>
          <w:lang w:eastAsia="ar-SA"/>
        </w:rPr>
        <w:t>- П</w:t>
      </w:r>
      <w:r w:rsidRPr="00E24A2B">
        <w:rPr>
          <w:lang w:eastAsia="ar-SA"/>
        </w:rPr>
        <w:t xml:space="preserve">риказ </w:t>
      </w:r>
      <w:r w:rsidRPr="002E1AEC">
        <w:rPr>
          <w:lang w:eastAsia="ar-SA"/>
        </w:rPr>
        <w:t xml:space="preserve">Минстроя России </w:t>
      </w:r>
      <w:r w:rsidRPr="00E24A2B">
        <w:rPr>
          <w:lang w:eastAsia="ar-SA"/>
        </w:rPr>
        <w:t>от 31.12.2020 № 930/</w:t>
      </w:r>
      <w:proofErr w:type="spellStart"/>
      <w:r w:rsidRPr="00E24A2B">
        <w:rPr>
          <w:lang w:eastAsia="ar-SA"/>
        </w:rPr>
        <w:t>пр</w:t>
      </w:r>
      <w:proofErr w:type="spellEnd"/>
      <w:r w:rsidRPr="00E24A2B">
        <w:rPr>
          <w:lang w:eastAsia="ar-SA"/>
        </w:rPr>
        <w:t xml:space="preserve">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в области долевого строительства многоквартирных домов и (или) иных объектов недвижимости»</w:t>
      </w:r>
      <w:r>
        <w:rPr>
          <w:lang w:eastAsia="ar-SA"/>
        </w:rPr>
        <w:t>;</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Губернатора Томской области от 12.03.2013 № 26 «Об утверждении Положения о Департаменте архитектуры и строительства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Администрации Томской области от 07.11.2018 № 431а «Об утверждении Порядка организации и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Администрации Томской области от 13.12.2018 № 471а «Об утверждении Порядка организации и осуществления регионального контроля за деятельностью жилищно-строительных кооперативов в случаях, предусмотренных статьей 123.2 Жилищного кодекса Российской Федерации,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Департамента архитектуры и строительства Томской области от 29.12.2018 № 35 «Об утверждении Административного регламента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Департамента архитектуры и строительства Томской области от 15.07.2016 № 30-п «Об утверждении перечня сведений и документов,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Департамента архитектуры и строительства Томской области от 17.05.2017 № 18-п «Об утверждении перечня документов и информации,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w:t>
      </w:r>
      <w:proofErr w:type="gramStart"/>
      <w:r w:rsidRPr="002E1AEC">
        <w:rPr>
          <w:lang w:eastAsia="ar-SA"/>
        </w:rPr>
        <w:t>дств гр</w:t>
      </w:r>
      <w:proofErr w:type="gramEnd"/>
      <w:r w:rsidRPr="002E1AEC">
        <w:rPr>
          <w:lang w:eastAsia="ar-SA"/>
        </w:rPr>
        <w:t>аждан для строительства жилищно-строительным кооперативом многоквартирного дома»;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lastRenderedPageBreak/>
        <w:t>- Приказ Департамента архитектуры и строительства Томской области от 02.08.2017 № 27-п «Об утверждении Административного регламента осуществления контроля за деятельностью жилищно-строительных кооперативов в случаях, предусмотренных статьей 123.2 Жилищного кодекса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Данные нормативные правовые акты опубликованы на официальном сайте Департамента в сети Интернет по адресу: http://depstroy.tomsk.ru/.</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а) Сведения об организационной структуре и системе управления органов государственного контроля (надзора), муниципального контроля:</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lang w:eastAsia="ar-SA"/>
        </w:rPr>
        <w:t xml:space="preserve">Департамент является уполномоченным органом Администрации Томской области по осуществлению государственного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 в Томской области. </w:t>
      </w:r>
    </w:p>
    <w:p w:rsidR="00E11FCB" w:rsidRDefault="00E11FCB"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 xml:space="preserve">б) </w:t>
      </w:r>
      <w:r w:rsidR="00E11FCB">
        <w:rPr>
          <w:bCs/>
          <w:lang w:eastAsia="ar-SA"/>
        </w:rPr>
        <w:t xml:space="preserve"> </w:t>
      </w:r>
      <w:r w:rsidRPr="002E1AEC">
        <w:rPr>
          <w:bCs/>
          <w:lang w:eastAsia="ar-SA"/>
        </w:rPr>
        <w:t>Перечень и описание основных и вспомогательных (обеспечительных) функций: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Государственная функция по контролю (надзору) в области долевого строительства многоквартирных домов и (или) иных объектов недвижимости включает следующие административные процедуры:</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1) проведение мероприятий, направленных на профилактику нарушений обязательных требований;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2) проведение мероприятий по контролю без взаимодействия с застройщиками;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3) подготовка к проведению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4) проведение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В случае выявления нарушений обязательных требований Департамент принимает меры, предусмотренные статьей 23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w:t>
      </w:r>
      <w:proofErr w:type="gramEnd"/>
      <w:r w:rsidRPr="002E1AEC">
        <w:rPr>
          <w:lang w:eastAsia="ar-SA"/>
        </w:rPr>
        <w:t>, нормативными правовыми актами уполномоченного органа, и устанавливает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пунктами 1 и 2 части 5.2 статьи 11 Федерального закона № 218-ФЗ;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Федеральным законом № 214-ФЗ и законодательством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lastRenderedPageBreak/>
        <w:t>обращается в суд с заявлениями в защиту прав и законных интересов участников долевого строительства;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обращается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случаях, предусмотренных частью 15 статьи 23 Федерального закона № 214-ФЗ;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обращается в арбитражный суд с заявлением о ликвидации лица, привлекающего денежные средства граждан для строительства, в случаях, предусмотренных частью 16 статьи 23 Федерального закона № 214-ФЗ.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Государственная функция по государственному контролю (надзору) за деятельностью жилищно-строительных кооперативов в </w:t>
      </w:r>
      <w:proofErr w:type="gramStart"/>
      <w:r w:rsidRPr="002E1AEC">
        <w:rPr>
          <w:lang w:eastAsia="ar-SA"/>
        </w:rPr>
        <w:t>случаях</w:t>
      </w:r>
      <w:proofErr w:type="gramEnd"/>
      <w:r w:rsidRPr="002E1AEC">
        <w:rPr>
          <w:lang w:eastAsia="ar-SA"/>
        </w:rPr>
        <w:t>, предусмотренных статьей 123.2 Жилищного Кодекса Российской Федерации включает следующие административные процедуры:</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1) проведение мероприятий, направленных на профилактику нарушений обязательных требований;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2) проведение мероприятий по контролю без взаимодействия с ЖСК;</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3) организация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4) проведение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5) принятие мер в связи с выявленными нарушениями.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Уполномоченные должностные лица Департамента принимают в связи с выявленными нарушениями следующие меры:</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направление в ЖСК обязательного для исполнения предписания об устранении нарушений требований части 3 статьи 110 ЖК РФ, за исключением последующего содержания многоквартирного дома, и статьи 123.1 ЖК РФ с установлением сроков устранения таких нарушений одновременно с передачей в ЖСК акта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2E1AEC">
        <w:rPr>
          <w:bCs/>
          <w:lang w:eastAsia="ar-SA"/>
        </w:rPr>
        <w:t>направление в ЖСК предписания о приостановлении деятельности ЖСК по привлечению новых членов кооператива до устранения ЖСК нарушений, в случае неисполнения ЖСК в установленный Департаментом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ЖСК, одновременно с передачей в ЖСК акта проверки;</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обращение в течение 30 рабочих дней со дня составления акта проверки в суд с требованием о ликвидации ЖСК в случае неисполнения этим ЖСК предписаний Департамента;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при установлении в действиях ЖСК и (или) должностных лиц ЖСК признаков состава административного правонарушения немедленно после выявления совершения административного правонарушения принятие мер, необходимых для привлечения ЖСК, его должностных лиц к ответственности в соответствии с требованиями законодательства Российской Федерации об административных правонарушениях;</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2E1AEC">
        <w:rPr>
          <w:bCs/>
          <w:lang w:eastAsia="ar-SA"/>
        </w:rPr>
        <w:t>обращение в суд в течение 30 рабочих дней со дня составления акта проверки и поступления в Департамент заявления о нарушении прав и законных интересов членов ЖСК с заявлением в защиту предусмотренных главой 11 ЖК РФ прав и законных интересов членов ЖСК, которые своими средствами участвуют в строительстве многоквартирного дома, в случае нарушения таких прав и интересов;</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направление в течение 10 рабочих дней со дня составления акта проверки в правоохранительные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 xml:space="preserve">в) </w:t>
      </w:r>
      <w:r w:rsidR="00E11FCB">
        <w:rPr>
          <w:bCs/>
          <w:lang w:eastAsia="ar-SA"/>
        </w:rPr>
        <w:t xml:space="preserve"> </w:t>
      </w:r>
      <w:r w:rsidRPr="002E1AEC">
        <w:rPr>
          <w:bCs/>
          <w:lang w:eastAsia="ar-SA"/>
        </w:rPr>
        <w:t>Наименование и реквизиты нормативных правовых актов, регламентирующих порядок исполнения указанной функции: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pPr>
      <w:r w:rsidRPr="002E1AEC">
        <w:t>Приказ Департамента архитектуры и строительства Томской области от 29.12.2018 № 35-п «Об утверждении Административного регламента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pPr>
      <w:r w:rsidRPr="002E1AEC">
        <w:t>Приказ Департамента архитектуры и строительства Томской области от 02.08.2017 № 27-п «Об утверждении Административного регламента осуществления контроля за деятельностью жилищно-строительных кооперативов в случаях, предусмотренных статьей 123.2 Жилищного кодекса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 xml:space="preserve">г) </w:t>
      </w:r>
      <w:r w:rsidR="00E11FCB">
        <w:rPr>
          <w:bCs/>
          <w:lang w:eastAsia="ar-SA"/>
        </w:rPr>
        <w:t xml:space="preserve"> </w:t>
      </w:r>
      <w:r w:rsidRPr="002E1AEC">
        <w:rPr>
          <w:bCs/>
          <w:lang w:eastAsia="ar-SA"/>
        </w:rPr>
        <w:t>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r w:rsidRPr="002E1AEC">
        <w:rPr>
          <w:lang w:eastAsia="ar-SA"/>
        </w:rPr>
        <w:t xml:space="preserve">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iCs/>
          <w:lang w:eastAsia="ar-SA"/>
        </w:rPr>
      </w:pPr>
      <w:proofErr w:type="gramStart"/>
      <w:r w:rsidRPr="002E1AEC">
        <w:rPr>
          <w:lang w:eastAsia="ar-SA"/>
        </w:rPr>
        <w:t>Исполнение функции по контролю (надзору) в области долевого строительства многоквартирных домов и (или) иных объектов недвижимости и контролю (надзору) за деятельностью жилищно-строительных кооперативов в случаях, предусмотренных статьей 123.2 Жилищного Кодекса Российской Федерации Департаментом осуществляется при взаимодействии с Главной инспекцией государственного строительного надзора Томской области, Управлением федеральной службы государственной регистрации, кадастра и картографии по Томской области, Департаментом архитектуры и градостроительства администрации</w:t>
      </w:r>
      <w:proofErr w:type="gramEnd"/>
      <w:r w:rsidRPr="002E1AEC">
        <w:rPr>
          <w:lang w:eastAsia="ar-SA"/>
        </w:rPr>
        <w:t xml:space="preserve"> Города Томска, Прокуратурой Томской области, Управлением Федеральной налоговой службы по Томской области, Управлением </w:t>
      </w:r>
      <w:r w:rsidRPr="002E1AEC">
        <w:rPr>
          <w:iCs/>
          <w:lang w:eastAsia="ar-SA"/>
        </w:rPr>
        <w:t>Федеральной службы судебных приставов по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д) </w:t>
      </w:r>
      <w:r w:rsidR="00E11FCB">
        <w:rPr>
          <w:lang w:eastAsia="ar-SA"/>
        </w:rPr>
        <w:t xml:space="preserve"> </w:t>
      </w:r>
      <w:r w:rsidRPr="002E1AEC">
        <w:rPr>
          <w:lang w:eastAsia="ar-SA"/>
        </w:rPr>
        <w:t>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Подведомственными Департаменту организациями государственный контроль (надзор) в области долевого строительства многоквартирных домов и (или) иных объектов недвижимости</w:t>
      </w:r>
      <w:r w:rsidRPr="002E1AEC">
        <w:t xml:space="preserve"> и контроль (надзор) за деятельностью жилищно-строительных кооперативов в случаях, предусмотренных статьей 123.2 Жилищного Кодекса Российской Федерации» не осуществляется.</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а) 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расчёте на объём исполненных в отчётный период контрольных функций):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Объём финансовых средств, выделяемых из бюджетов всех уровней на выполнение функций по контролю (надзору) за 202</w:t>
      </w:r>
      <w:r w:rsidR="00E11FCB">
        <w:rPr>
          <w:lang w:eastAsia="ar-SA"/>
        </w:rPr>
        <w:t>1</w:t>
      </w:r>
      <w:r w:rsidRPr="002E1AEC">
        <w:rPr>
          <w:lang w:eastAsia="ar-SA"/>
        </w:rPr>
        <w:t xml:space="preserve"> год составил </w:t>
      </w:r>
      <w:r w:rsidR="007508F3">
        <w:rPr>
          <w:lang w:eastAsia="ar-SA"/>
        </w:rPr>
        <w:t>3209</w:t>
      </w:r>
      <w:r w:rsidRPr="002E1AEC">
        <w:rPr>
          <w:lang w:eastAsia="ar-SA"/>
        </w:rPr>
        <w:t xml:space="preserve">,7 рублей.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lastRenderedPageBreak/>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Штатная </w:t>
      </w:r>
      <w:r w:rsidR="007508F3">
        <w:rPr>
          <w:lang w:eastAsia="ar-SA"/>
        </w:rPr>
        <w:t xml:space="preserve">численность </w:t>
      </w:r>
      <w:r w:rsidRPr="002E1AEC">
        <w:rPr>
          <w:lang w:eastAsia="ar-SA"/>
        </w:rPr>
        <w:t xml:space="preserve">сотрудников Комитета контроля и надзора в области долевого строительства Департамента, выполняющих функции по контролю, </w:t>
      </w:r>
      <w:proofErr w:type="gramStart"/>
      <w:r w:rsidRPr="002E1AEC">
        <w:rPr>
          <w:lang w:eastAsia="ar-SA"/>
        </w:rPr>
        <w:t>укомплектована и состоит</w:t>
      </w:r>
      <w:proofErr w:type="gramEnd"/>
      <w:r w:rsidRPr="002E1AEC">
        <w:rPr>
          <w:lang w:eastAsia="ar-SA"/>
        </w:rPr>
        <w:t xml:space="preserve"> из двух сотрудников.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в) Сведения о квалификации работников, мероприятиях по повышению их квалификации: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Работники, осуществляющие функции по контролю (надзору) в области долевого строительства и контролю (надзору) за деятельностью жилищно-строительных кооперативов в случаях, предусмотренных статьей 123.2 Жилищного Кодекса Российской имеют высшее образование, для каждого сотрудника Комитета контроля и надзора в области долевого строительства утверждены индивидуальные планы профессионального развития в части повышения уровня знаний как правового, так и информационного обеспечения деятельности.</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г) Данные о средней нагрузке на 1 работника по фактически выполненному в отчётный период объёму функций по контролю:</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В соответствии с должностными обязанностями каждого сотрудника Комитета контроля и надзора в области долевого строительства Департамента, предусмотренными в должностных регламентах, устанавливающих права, обязанность и ответственность работника, нагрузки по исполнению возложенных на них функций составляют 100 % по фактически выполненным в отчётный период каждым сотрудником объёмам функции по контролю (надзору).</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2E1AEC" w:rsidRPr="008B112C" w:rsidRDefault="002E1AEC" w:rsidP="008B112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8B112C">
        <w:rPr>
          <w:bCs/>
          <w:lang w:eastAsia="ar-SA"/>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EC482F" w:rsidRPr="008B112C" w:rsidRDefault="00EC482F" w:rsidP="008B112C">
      <w:pPr>
        <w:ind w:firstLine="709"/>
        <w:jc w:val="both"/>
        <w:rPr>
          <w:lang w:eastAsia="ar-SA"/>
        </w:rPr>
      </w:pPr>
      <w:proofErr w:type="gramStart"/>
      <w:r w:rsidRPr="008B112C">
        <w:rPr>
          <w:lang w:eastAsia="ar-SA"/>
        </w:rPr>
        <w:t>Наряду с осуществлением проверок ежеквартальной отчётности застройщиков об осуществлении деятельности, связанной с привлечением денежных средств участников долевого строительства, в 20</w:t>
      </w:r>
      <w:r w:rsidR="00E852FD" w:rsidRPr="008B112C">
        <w:rPr>
          <w:lang w:eastAsia="ar-SA"/>
        </w:rPr>
        <w:t>21</w:t>
      </w:r>
      <w:r w:rsidRPr="008B112C">
        <w:rPr>
          <w:lang w:eastAsia="ar-SA"/>
        </w:rPr>
        <w:t xml:space="preserve"> г</w:t>
      </w:r>
      <w:r w:rsidR="00BF2D40">
        <w:rPr>
          <w:lang w:eastAsia="ar-SA"/>
        </w:rPr>
        <w:t xml:space="preserve">оду Департаментом осуществлены </w:t>
      </w:r>
      <w:r w:rsidRPr="008B112C">
        <w:rPr>
          <w:lang w:eastAsia="ar-SA"/>
        </w:rPr>
        <w:t xml:space="preserve"> действия в рамках функции по контролю (надзору)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r w:rsidR="00BF2D40">
        <w:rPr>
          <w:lang w:eastAsia="ar-SA"/>
        </w:rPr>
        <w:t>.</w:t>
      </w:r>
      <w:proofErr w:type="gramEnd"/>
    </w:p>
    <w:p w:rsidR="008B112C" w:rsidRPr="008B112C" w:rsidRDefault="008B112C" w:rsidP="008B112C">
      <w:pPr>
        <w:tabs>
          <w:tab w:val="left" w:pos="710"/>
        </w:tabs>
        <w:ind w:firstLine="709"/>
        <w:jc w:val="both"/>
        <w:rPr>
          <w:lang w:eastAsia="ar-SA"/>
        </w:rPr>
      </w:pPr>
      <w:r w:rsidRPr="008B112C">
        <w:t>По итогам  проведенных мероприятий в</w:t>
      </w:r>
      <w:r w:rsidRPr="008B112C">
        <w:rPr>
          <w:lang w:eastAsia="ar-SA"/>
        </w:rPr>
        <w:t xml:space="preserve"> </w:t>
      </w:r>
      <w:proofErr w:type="gramStart"/>
      <w:r w:rsidRPr="008B112C">
        <w:rPr>
          <w:lang w:eastAsia="ar-SA"/>
        </w:rPr>
        <w:t>отношении</w:t>
      </w:r>
      <w:proofErr w:type="gramEnd"/>
      <w:r w:rsidRPr="008B112C">
        <w:rPr>
          <w:lang w:eastAsia="ar-SA"/>
        </w:rPr>
        <w:t xml:space="preserve"> </w:t>
      </w:r>
      <w:r w:rsidRPr="008B112C">
        <w:t xml:space="preserve">контролируемых лиц </w:t>
      </w:r>
      <w:r w:rsidRPr="008B112C">
        <w:rPr>
          <w:lang w:eastAsia="ar-SA"/>
        </w:rPr>
        <w:t>Департаментом проведено 1</w:t>
      </w:r>
      <w:r w:rsidR="00BF2D40">
        <w:rPr>
          <w:lang w:eastAsia="ar-SA"/>
        </w:rPr>
        <w:t>6</w:t>
      </w:r>
      <w:r w:rsidRPr="008B112C">
        <w:rPr>
          <w:lang w:eastAsia="ar-SA"/>
        </w:rPr>
        <w:t xml:space="preserve"> внеплановых документарных проверок, из них 1 проверка на основании акта Департамента была прекращена в связи с передачей прав на объект долевого строительства другому лицу.</w:t>
      </w:r>
    </w:p>
    <w:p w:rsidR="008B112C" w:rsidRPr="008B112C" w:rsidRDefault="008B112C" w:rsidP="008B112C">
      <w:pPr>
        <w:suppressAutoHyphens/>
        <w:ind w:firstLine="709"/>
        <w:jc w:val="both"/>
        <w:rPr>
          <w:lang w:eastAsia="ar-SA"/>
        </w:rPr>
      </w:pPr>
      <w:proofErr w:type="gramStart"/>
      <w:r w:rsidRPr="008B112C">
        <w:rPr>
          <w:lang w:eastAsia="ar-SA"/>
        </w:rPr>
        <w:t>В отчетный период Департаментом привлечены к административной ответственности:</w:t>
      </w:r>
      <w:proofErr w:type="gramEnd"/>
    </w:p>
    <w:p w:rsidR="008B112C" w:rsidRPr="008B112C" w:rsidRDefault="008B112C" w:rsidP="008B112C">
      <w:pPr>
        <w:suppressAutoHyphens/>
        <w:ind w:firstLine="709"/>
        <w:jc w:val="both"/>
        <w:rPr>
          <w:lang w:eastAsia="ar-SA"/>
        </w:rPr>
      </w:pPr>
      <w:r w:rsidRPr="008B112C">
        <w:rPr>
          <w:lang w:eastAsia="ar-SA"/>
        </w:rPr>
        <w:t>1) за совершение административного правонарушения, предусмотренного частью 1 статьи 13.19.3 КоАП РФ, - 4 должностных лица застройщика (4 постановления);</w:t>
      </w:r>
    </w:p>
    <w:p w:rsidR="008B112C" w:rsidRPr="008B112C" w:rsidRDefault="008B112C" w:rsidP="008B112C">
      <w:pPr>
        <w:suppressAutoHyphens/>
        <w:ind w:firstLine="709"/>
        <w:jc w:val="both"/>
        <w:rPr>
          <w:lang w:eastAsia="ar-SA"/>
        </w:rPr>
      </w:pPr>
      <w:r w:rsidRPr="008B112C">
        <w:rPr>
          <w:lang w:eastAsia="ar-SA"/>
        </w:rPr>
        <w:lastRenderedPageBreak/>
        <w:t>2) за совершение административного правонарушения, предусмотренного частью 2</w:t>
      </w:r>
      <w:r w:rsidRPr="008B112C">
        <w:t xml:space="preserve"> </w:t>
      </w:r>
      <w:r w:rsidRPr="008B112C">
        <w:rPr>
          <w:lang w:eastAsia="ar-SA"/>
        </w:rPr>
        <w:t>статьи 13.19.3 КоАП РФ, - 3 застройщика и 1 должностное лицо застройщика (4 постановления);</w:t>
      </w:r>
    </w:p>
    <w:p w:rsidR="008B112C" w:rsidRPr="008B112C" w:rsidRDefault="008B112C" w:rsidP="008B112C">
      <w:pPr>
        <w:suppressAutoHyphens/>
        <w:ind w:firstLine="709"/>
        <w:jc w:val="both"/>
        <w:rPr>
          <w:lang w:eastAsia="ar-SA"/>
        </w:rPr>
      </w:pPr>
      <w:r w:rsidRPr="008B112C">
        <w:rPr>
          <w:lang w:eastAsia="ar-SA"/>
        </w:rPr>
        <w:t>3) за совершение административного правонарушения, предусмотренного частью 2 статьи 14.28 КоАП РФ, - 1 застройщик, 3 должностных лица застройщика (4 постановления);</w:t>
      </w:r>
    </w:p>
    <w:p w:rsidR="008B112C" w:rsidRPr="008B112C" w:rsidRDefault="008B112C" w:rsidP="008B112C">
      <w:pPr>
        <w:suppressAutoHyphens/>
        <w:ind w:firstLine="709"/>
        <w:jc w:val="both"/>
        <w:rPr>
          <w:lang w:eastAsia="ar-SA"/>
        </w:rPr>
      </w:pPr>
      <w:r w:rsidRPr="008B112C">
        <w:rPr>
          <w:lang w:eastAsia="ar-SA"/>
        </w:rPr>
        <w:t>4) за совершение административного правонарушения, предусмотренного частью 3 статьи 14.28 КоАП РФ, -7 застройщиков, 7 должностных лиц застройщиков (14 постановлений).</w:t>
      </w:r>
    </w:p>
    <w:p w:rsidR="008B112C" w:rsidRPr="008B112C" w:rsidRDefault="008B112C" w:rsidP="008B112C">
      <w:pPr>
        <w:suppressAutoHyphens/>
        <w:ind w:firstLine="709"/>
        <w:jc w:val="both"/>
        <w:rPr>
          <w:lang w:eastAsia="ar-SA"/>
        </w:rPr>
      </w:pPr>
      <w:r w:rsidRPr="008B112C">
        <w:rPr>
          <w:lang w:eastAsia="ar-SA"/>
        </w:rPr>
        <w:t>Таким образом, Департаментом вынесено 26 постановлений о назначен</w:t>
      </w:r>
      <w:r>
        <w:rPr>
          <w:lang w:eastAsia="ar-SA"/>
        </w:rPr>
        <w:t>ии административного наказания.</w:t>
      </w:r>
    </w:p>
    <w:p w:rsidR="00E852FD" w:rsidRPr="008B112C" w:rsidRDefault="00EC482F" w:rsidP="008B112C">
      <w:pPr>
        <w:ind w:firstLine="709"/>
        <w:jc w:val="both"/>
        <w:rPr>
          <w:bCs/>
          <w:lang w:eastAsia="ar-SA"/>
        </w:rPr>
      </w:pPr>
      <w:r w:rsidRPr="008B112C">
        <w:rPr>
          <w:bCs/>
          <w:lang w:eastAsia="ar-SA"/>
        </w:rPr>
        <w:t xml:space="preserve">Общая сумма наложенных Департаментом административных штрафов равна </w:t>
      </w:r>
      <w:r w:rsidR="00E852FD" w:rsidRPr="008B112C">
        <w:rPr>
          <w:bCs/>
          <w:lang w:eastAsia="ar-SA"/>
        </w:rPr>
        <w:t>865000</w:t>
      </w:r>
      <w:r w:rsidR="008B112C">
        <w:rPr>
          <w:bCs/>
          <w:lang w:eastAsia="ar-SA"/>
        </w:rPr>
        <w:t xml:space="preserve"> </w:t>
      </w:r>
      <w:r w:rsidRPr="008B112C">
        <w:rPr>
          <w:bCs/>
          <w:lang w:eastAsia="ar-SA"/>
        </w:rPr>
        <w:t xml:space="preserve">рублей. </w:t>
      </w:r>
    </w:p>
    <w:p w:rsidR="008B112C" w:rsidRPr="008B112C" w:rsidRDefault="008B112C" w:rsidP="008B112C">
      <w:pPr>
        <w:suppressAutoHyphens/>
        <w:ind w:firstLine="709"/>
        <w:jc w:val="both"/>
        <w:rPr>
          <w:lang w:eastAsia="ar-SA"/>
        </w:rPr>
      </w:pPr>
      <w:r w:rsidRPr="008B112C">
        <w:rPr>
          <w:lang w:eastAsia="ar-SA"/>
        </w:rPr>
        <w:t>В Департамент в порядке, предусмотренном статьей 28.8 Кодекса Российской Федерации об административных правонарушениях от прокуратуры Октябрьского района г. Томска поступило 1 постановление о возбуждении дела об административном правонарушении, предусмотренном частью 1 статьи 13.19.3 КоАП РФ. По результатам рассмотрения данного постановления застройщику вынесено постановление о назначении административного наказания в виде предупреждения.</w:t>
      </w:r>
    </w:p>
    <w:p w:rsidR="00E133F5" w:rsidRDefault="00E133F5" w:rsidP="00E133F5">
      <w:pPr>
        <w:ind w:firstLine="709"/>
        <w:jc w:val="both"/>
        <w:rPr>
          <w:lang w:eastAsia="ar-SA"/>
        </w:rPr>
      </w:pPr>
      <w:r>
        <w:rPr>
          <w:lang w:eastAsia="ar-SA"/>
        </w:rPr>
        <w:t>При проведении в отношении застройщиков процедур банкротства Департамент участвует в суде по делам о банкротстве застройщиков.</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В 202</w:t>
      </w:r>
      <w:r w:rsidR="00EC482F">
        <w:rPr>
          <w:lang w:eastAsia="ar-SA"/>
        </w:rPr>
        <w:t>1</w:t>
      </w:r>
      <w:r w:rsidRPr="002E1AEC">
        <w:rPr>
          <w:lang w:eastAsia="ar-SA"/>
        </w:rPr>
        <w:t xml:space="preserve"> году Департаментом приняты следующие нормативные правовые акты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p>
    <w:p w:rsidR="00973CAF"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 </w:t>
      </w:r>
      <w:r w:rsidR="00973CAF" w:rsidRPr="00973CAF">
        <w:rPr>
          <w:lang w:eastAsia="ar-SA"/>
        </w:rPr>
        <w:t>Постановление Администрации Томской области от 14.12.2021 N 514а "Об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w:t>
      </w:r>
      <w:proofErr w:type="gramStart"/>
      <w:r w:rsidR="00973CAF" w:rsidRPr="00973CAF">
        <w:rPr>
          <w:lang w:eastAsia="ar-SA"/>
        </w:rPr>
        <w:t>дств чл</w:t>
      </w:r>
      <w:proofErr w:type="gramEnd"/>
      <w:r w:rsidR="00973CAF" w:rsidRPr="00973CAF">
        <w:rPr>
          <w:lang w:eastAsia="ar-SA"/>
        </w:rPr>
        <w:t>енов кооператива для строительства многоквартирного дома, на территории Томской области"</w:t>
      </w:r>
      <w:r w:rsidR="00973CAF">
        <w:rPr>
          <w:lang w:eastAsia="ar-SA"/>
        </w:rPr>
        <w:t>.</w:t>
      </w:r>
    </w:p>
    <w:p w:rsidR="00973CAF" w:rsidRDefault="00973CAF"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Pr>
          <w:lang w:eastAsia="ar-SA"/>
        </w:rPr>
        <w:t xml:space="preserve">- </w:t>
      </w:r>
      <w:r w:rsidRPr="00973CAF">
        <w:rPr>
          <w:lang w:eastAsia="ar-SA"/>
        </w:rPr>
        <w:t>Постановление Администрации Томской области от 14.12.2021 N 515а "Об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на территории Томской области"</w:t>
      </w:r>
    </w:p>
    <w:p w:rsidR="002E1AEC" w:rsidRDefault="00973CAF"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Pr>
          <w:lang w:eastAsia="ar-SA"/>
        </w:rPr>
        <w:t xml:space="preserve"> </w:t>
      </w:r>
      <w:proofErr w:type="gramStart"/>
      <w:r w:rsidR="002E1AEC" w:rsidRPr="002E1AEC">
        <w:rPr>
          <w:lang w:eastAsia="ar-SA"/>
        </w:rPr>
        <w:t>Указанн</w:t>
      </w:r>
      <w:r>
        <w:rPr>
          <w:lang w:eastAsia="ar-SA"/>
        </w:rPr>
        <w:t>ы</w:t>
      </w:r>
      <w:r w:rsidR="002E1AEC" w:rsidRPr="002E1AEC">
        <w:rPr>
          <w:lang w:eastAsia="ar-SA"/>
        </w:rPr>
        <w:t>е</w:t>
      </w:r>
      <w:proofErr w:type="gramEnd"/>
      <w:r w:rsidR="002E1AEC" w:rsidRPr="002E1AEC">
        <w:rPr>
          <w:lang w:eastAsia="ar-SA"/>
        </w:rPr>
        <w:t xml:space="preserve"> постановление размещен</w:t>
      </w:r>
      <w:r>
        <w:rPr>
          <w:lang w:eastAsia="ar-SA"/>
        </w:rPr>
        <w:t>ы</w:t>
      </w:r>
      <w:r w:rsidR="002E1AEC" w:rsidRPr="002E1AEC">
        <w:rPr>
          <w:lang w:eastAsia="ar-SA"/>
        </w:rPr>
        <w:t xml:space="preserve"> на официальном сайте Департамента  </w:t>
      </w:r>
      <w:hyperlink r:id="rId7" w:history="1">
        <w:r w:rsidR="002E1AEC" w:rsidRPr="002E1AEC">
          <w:rPr>
            <w:color w:val="0000FF" w:themeColor="hyperlink"/>
            <w:u w:val="single"/>
            <w:lang w:eastAsia="ar-SA"/>
          </w:rPr>
          <w:t>http://depstroy.tomsk.ru/</w:t>
        </w:r>
      </w:hyperlink>
      <w:r w:rsidR="002E1AEC" w:rsidRPr="002E1AEC">
        <w:rPr>
          <w:lang w:eastAsia="ar-SA"/>
        </w:rPr>
        <w:t>.</w:t>
      </w:r>
    </w:p>
    <w:p w:rsidR="00973CAF" w:rsidRPr="002E1AEC" w:rsidRDefault="00973CAF"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б)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Случаи причинения юридическими лицами,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случаи возникновения чрезвычайных ситуаций природного и техногенного характера отсутствуют.</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а) Сведения о принятых органами государственного контроля (надзора), муниципального контроля мерах реагирования по фактам выявленных нарушений:</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принятие мер, необходимых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от 30.12.2004 № 214-ФЗ и законодательством Российской Федерации;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принятие мер, необходимых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rFonts w:cs="Calibri"/>
          <w:lang w:eastAsia="ar-SA"/>
        </w:rPr>
      </w:pPr>
      <w:r w:rsidRPr="00E24A2B">
        <w:rPr>
          <w:rFonts w:cs="Calibri"/>
          <w:lang w:eastAsia="ar-SA"/>
        </w:rPr>
        <w:t>Методическая работа с застройщиками, жилищно-строительными кооперативами, направленная на предотвращение нарушений с их стороны, проводилась в форме разъяснений положений действующего законодательства в области долевого строительства и консультаций по вопросам долевого участия в строительстве многоквартирных домов, а также по вопросам деятельности жилищно-строительных кооперативов в рамках статьи 123.2 Жилищного Кодекса Российской Федерации.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Вся необходимая информация для юридических лиц, в отношении которых проводятся проверки, опубликована на официальном сайте Департамента в сети Интернет по адресу: http://depstroy.tomsk.ru/.</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001278"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 202</w:t>
      </w:r>
      <w:r w:rsidR="001A4792">
        <w:rPr>
          <w:bCs/>
          <w:lang w:eastAsia="ar-SA"/>
        </w:rPr>
        <w:t>1</w:t>
      </w:r>
      <w:r w:rsidRPr="00E24A2B">
        <w:rPr>
          <w:bCs/>
          <w:lang w:eastAsia="ar-SA"/>
        </w:rPr>
        <w:t xml:space="preserve"> году оспаривания оснований и результатов проведения мероприятий по контролю отсутствовали.</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Показатели эффективности государственного контроля (надзора):</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выполнение плана проведения проверок: – </w:t>
      </w:r>
      <w:r w:rsidR="009623CE">
        <w:rPr>
          <w:bCs/>
          <w:lang w:eastAsia="ar-SA"/>
        </w:rPr>
        <w:t>100% (</w:t>
      </w:r>
      <w:r w:rsidRPr="00E24A2B">
        <w:rPr>
          <w:bCs/>
          <w:lang w:eastAsia="ar-SA"/>
        </w:rPr>
        <w:t xml:space="preserve">в 2020 году – </w:t>
      </w:r>
      <w:r w:rsidR="00BF2D40">
        <w:rPr>
          <w:bCs/>
          <w:lang w:eastAsia="ar-SA"/>
        </w:rPr>
        <w:t xml:space="preserve">0% </w:t>
      </w:r>
      <w:r w:rsidRPr="00E24A2B">
        <w:rPr>
          <w:bCs/>
          <w:lang w:eastAsia="ar-SA"/>
        </w:rPr>
        <w:t>проверки не проводились, в связи с действием моратория на проведение плановых проверок в отношение субъектов малого и среднего предпринимательства);</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lastRenderedPageBreak/>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равна – 0 % (в 20</w:t>
      </w:r>
      <w:r w:rsidR="009623CE">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проверок, результаты которых </w:t>
      </w:r>
      <w:proofErr w:type="gramStart"/>
      <w:r w:rsidRPr="00E24A2B">
        <w:rPr>
          <w:bCs/>
          <w:lang w:eastAsia="ar-SA"/>
        </w:rPr>
        <w:t>признаны недействительными равна</w:t>
      </w:r>
      <w:proofErr w:type="gramEnd"/>
      <w:r w:rsidRPr="00E24A2B">
        <w:rPr>
          <w:bCs/>
          <w:lang w:eastAsia="ar-SA"/>
        </w:rPr>
        <w:t xml:space="preserve"> – 0 % (в 20</w:t>
      </w:r>
      <w:r w:rsidR="009623CE">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24A2B">
        <w:rPr>
          <w:bCs/>
          <w:lang w:eastAsia="ar-SA"/>
        </w:rPr>
        <w:t>результатам</w:t>
      </w:r>
      <w:proofErr w:type="gramEnd"/>
      <w:r w:rsidRPr="00E24A2B">
        <w:rPr>
          <w:bCs/>
          <w:lang w:eastAsia="ar-SA"/>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 (в 20</w:t>
      </w:r>
      <w:r w:rsidR="009623CE">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009623CE">
        <w:rPr>
          <w:bCs/>
          <w:lang w:eastAsia="ar-SA"/>
        </w:rPr>
        <w:t>57,</w:t>
      </w:r>
      <w:r w:rsidR="00BF2D40">
        <w:rPr>
          <w:bCs/>
          <w:lang w:eastAsia="ar-SA"/>
        </w:rPr>
        <w:t>7</w:t>
      </w:r>
      <w:r w:rsidRPr="00E24A2B">
        <w:rPr>
          <w:bCs/>
          <w:lang w:eastAsia="ar-SA"/>
        </w:rPr>
        <w:t xml:space="preserve"> % (в 20</w:t>
      </w:r>
      <w:r w:rsidR="009623CE">
        <w:rPr>
          <w:bCs/>
          <w:lang w:eastAsia="ar-SA"/>
        </w:rPr>
        <w:t>20</w:t>
      </w:r>
      <w:r w:rsidRPr="00E24A2B">
        <w:rPr>
          <w:bCs/>
          <w:lang w:eastAsia="ar-SA"/>
        </w:rPr>
        <w:t xml:space="preserve"> году - </w:t>
      </w:r>
      <w:r w:rsidR="009623CE">
        <w:rPr>
          <w:bCs/>
          <w:lang w:eastAsia="ar-SA"/>
        </w:rPr>
        <w:t>0</w:t>
      </w:r>
      <w:r w:rsidRPr="00E24A2B">
        <w:rPr>
          <w:bCs/>
          <w:lang w:eastAsia="ar-SA"/>
        </w:rPr>
        <w:t xml:space="preserve"> %);</w:t>
      </w:r>
      <w:proofErr w:type="gramEnd"/>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среднее количество проверок, проведенных в </w:t>
      </w:r>
      <w:proofErr w:type="gramStart"/>
      <w:r w:rsidRPr="00E24A2B">
        <w:rPr>
          <w:bCs/>
          <w:lang w:eastAsia="ar-SA"/>
        </w:rPr>
        <w:t>отношении</w:t>
      </w:r>
      <w:proofErr w:type="gramEnd"/>
      <w:r w:rsidRPr="00E24A2B">
        <w:rPr>
          <w:bCs/>
          <w:lang w:eastAsia="ar-SA"/>
        </w:rPr>
        <w:t xml:space="preserve"> одного юридического лица, индивидуального предпринимателя – </w:t>
      </w:r>
      <w:r w:rsidR="00BF2D40">
        <w:rPr>
          <w:bCs/>
          <w:lang w:eastAsia="ar-SA"/>
        </w:rPr>
        <w:t xml:space="preserve">1 </w:t>
      </w:r>
      <w:r w:rsidRPr="00E24A2B">
        <w:rPr>
          <w:bCs/>
          <w:lang w:eastAsia="ar-SA"/>
        </w:rPr>
        <w:t xml:space="preserve"> проверк</w:t>
      </w:r>
      <w:r w:rsidR="00BF2D40">
        <w:rPr>
          <w:bCs/>
          <w:lang w:eastAsia="ar-SA"/>
        </w:rPr>
        <w:t>а</w:t>
      </w:r>
      <w:r w:rsidRPr="00E24A2B">
        <w:rPr>
          <w:bCs/>
          <w:lang w:eastAsia="ar-SA"/>
        </w:rPr>
        <w:t xml:space="preserve"> (в 20</w:t>
      </w:r>
      <w:r w:rsidR="00BF2D40">
        <w:rPr>
          <w:bCs/>
          <w:lang w:eastAsia="ar-SA"/>
        </w:rPr>
        <w:t xml:space="preserve">20 году </w:t>
      </w:r>
      <w:r w:rsidR="00944977">
        <w:rPr>
          <w:bCs/>
          <w:lang w:eastAsia="ar-SA"/>
        </w:rPr>
        <w:t>–</w:t>
      </w:r>
      <w:r w:rsidR="00BF2D40">
        <w:rPr>
          <w:bCs/>
          <w:lang w:eastAsia="ar-SA"/>
        </w:rPr>
        <w:t xml:space="preserve"> 0</w:t>
      </w:r>
      <w:r w:rsidR="00944977">
        <w:rPr>
          <w:bCs/>
          <w:lang w:eastAsia="ar-SA"/>
        </w:rPr>
        <w:t xml:space="preserve"> </w:t>
      </w:r>
      <w:r w:rsidRPr="00E24A2B">
        <w:rPr>
          <w:bCs/>
          <w:lang w:eastAsia="ar-SA"/>
        </w:rPr>
        <w:t>провер</w:t>
      </w:r>
      <w:r w:rsidR="00944977">
        <w:rPr>
          <w:bCs/>
          <w:lang w:eastAsia="ar-SA"/>
        </w:rPr>
        <w:t>ок</w:t>
      </w:r>
      <w:r w:rsidRPr="00E24A2B">
        <w:rPr>
          <w:bCs/>
          <w:lang w:eastAsia="ar-SA"/>
        </w:rPr>
        <w:t>).</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проведенных внеплановых проверок (в </w:t>
      </w:r>
      <w:proofErr w:type="gramStart"/>
      <w:r w:rsidRPr="00E24A2B">
        <w:rPr>
          <w:bCs/>
          <w:lang w:eastAsia="ar-SA"/>
        </w:rPr>
        <w:t>процентах</w:t>
      </w:r>
      <w:proofErr w:type="gramEnd"/>
      <w:r w:rsidRPr="00E24A2B">
        <w:rPr>
          <w:bCs/>
          <w:lang w:eastAsia="ar-SA"/>
        </w:rPr>
        <w:t xml:space="preserve"> общего количества проведенных проверок) – </w:t>
      </w:r>
      <w:r w:rsidR="00944977">
        <w:rPr>
          <w:bCs/>
          <w:lang w:eastAsia="ar-SA"/>
        </w:rPr>
        <w:t>100</w:t>
      </w:r>
      <w:r w:rsidRPr="00E24A2B">
        <w:rPr>
          <w:bCs/>
          <w:lang w:eastAsia="ar-SA"/>
        </w:rPr>
        <w:t xml:space="preserve"> % (в 20</w:t>
      </w:r>
      <w:r w:rsidR="00944977">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правонарушений, выявленных по итогам проведения внеплановых проверок (в </w:t>
      </w:r>
      <w:proofErr w:type="gramStart"/>
      <w:r w:rsidRPr="00E24A2B">
        <w:rPr>
          <w:bCs/>
          <w:lang w:eastAsia="ar-SA"/>
        </w:rPr>
        <w:t>процентах</w:t>
      </w:r>
      <w:proofErr w:type="gramEnd"/>
      <w:r w:rsidRPr="00E24A2B">
        <w:rPr>
          <w:bCs/>
          <w:lang w:eastAsia="ar-SA"/>
        </w:rPr>
        <w:t xml:space="preserve"> общего числа правонарушений, выявленных по итогам проверок) – </w:t>
      </w:r>
      <w:r w:rsidR="00944977">
        <w:rPr>
          <w:bCs/>
          <w:lang w:eastAsia="ar-SA"/>
        </w:rPr>
        <w:t>10</w:t>
      </w:r>
      <w:r w:rsidRPr="00E24A2B">
        <w:rPr>
          <w:bCs/>
          <w:lang w:eastAsia="ar-SA"/>
        </w:rPr>
        <w:t>0 % (в 20</w:t>
      </w:r>
      <w:r w:rsidR="00944977">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24A2B">
        <w:rPr>
          <w:bCs/>
          <w:lang w:eastAsia="ar-SA"/>
        </w:rPr>
        <w:t xml:space="preserve"> проведенных внеплановых проверок) – 0 % (в 20</w:t>
      </w:r>
      <w:r w:rsidR="00944977">
        <w:rPr>
          <w:bCs/>
          <w:lang w:eastAsia="ar-SA"/>
        </w:rPr>
        <w:t>20</w:t>
      </w:r>
      <w:r w:rsidRPr="00E24A2B">
        <w:rPr>
          <w:bCs/>
          <w:lang w:eastAsia="ar-SA"/>
        </w:rPr>
        <w:t xml:space="preserve"> году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24A2B">
        <w:rPr>
          <w:bCs/>
          <w:lang w:eastAsia="ar-SA"/>
        </w:rPr>
        <w:t xml:space="preserve"> (в </w:t>
      </w:r>
      <w:proofErr w:type="gramStart"/>
      <w:r w:rsidRPr="00E24A2B">
        <w:rPr>
          <w:bCs/>
          <w:lang w:eastAsia="ar-SA"/>
        </w:rPr>
        <w:t>процентах</w:t>
      </w:r>
      <w:proofErr w:type="gramEnd"/>
      <w:r w:rsidRPr="00E24A2B">
        <w:rPr>
          <w:bCs/>
          <w:lang w:eastAsia="ar-SA"/>
        </w:rPr>
        <w:t xml:space="preserve"> общего количества проведенных внеплановых проверок) – 0 % (в 20</w:t>
      </w:r>
      <w:r w:rsidR="00944977">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проверок, по итогам которых выявлены правонарушения (в процентах общего числа проведенных плановых и внеплановых проверок) – </w:t>
      </w:r>
      <w:r w:rsidR="00AC64D8">
        <w:rPr>
          <w:bCs/>
          <w:lang w:eastAsia="ar-SA"/>
        </w:rPr>
        <w:t>10</w:t>
      </w:r>
      <w:r w:rsidRPr="00E24A2B">
        <w:rPr>
          <w:bCs/>
          <w:lang w:eastAsia="ar-SA"/>
        </w:rPr>
        <w:t>0 % (в 20</w:t>
      </w:r>
      <w:r w:rsidR="00944977">
        <w:rPr>
          <w:bCs/>
          <w:lang w:eastAsia="ar-SA"/>
        </w:rPr>
        <w:t>20</w:t>
      </w:r>
      <w:r w:rsidRPr="00E24A2B">
        <w:rPr>
          <w:bCs/>
          <w:lang w:eastAsia="ar-SA"/>
        </w:rPr>
        <w:t>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w:t>
      </w:r>
      <w:r w:rsidR="00944977">
        <w:rPr>
          <w:bCs/>
          <w:lang w:eastAsia="ar-SA"/>
        </w:rPr>
        <w:t>10</w:t>
      </w:r>
      <w:r w:rsidRPr="00E24A2B">
        <w:rPr>
          <w:bCs/>
          <w:lang w:eastAsia="ar-SA"/>
        </w:rPr>
        <w:t>0 % (в 20</w:t>
      </w:r>
      <w:r w:rsidR="00944977">
        <w:rPr>
          <w:bCs/>
          <w:lang w:eastAsia="ar-SA"/>
        </w:rPr>
        <w:t>20</w:t>
      </w:r>
      <w:r w:rsidRPr="00E24A2B">
        <w:rPr>
          <w:bCs/>
          <w:lang w:eastAsia="ar-SA"/>
        </w:rPr>
        <w:t xml:space="preserve"> году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w:t>
      </w:r>
      <w:r w:rsidR="00944977">
        <w:rPr>
          <w:bCs/>
          <w:lang w:eastAsia="ar-SA"/>
        </w:rPr>
        <w:t>10</w:t>
      </w:r>
      <w:r w:rsidRPr="00E24A2B">
        <w:rPr>
          <w:bCs/>
          <w:lang w:eastAsia="ar-SA"/>
        </w:rPr>
        <w:t>0 % (в 20</w:t>
      </w:r>
      <w:r w:rsidR="00944977">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 (в</w:t>
      </w:r>
      <w:proofErr w:type="gramEnd"/>
      <w:r w:rsidRPr="00E24A2B">
        <w:rPr>
          <w:bCs/>
          <w:lang w:eastAsia="ar-SA"/>
        </w:rPr>
        <w:t xml:space="preserve"> </w:t>
      </w:r>
      <w:proofErr w:type="gramStart"/>
      <w:r w:rsidRPr="00E24A2B">
        <w:rPr>
          <w:bCs/>
          <w:lang w:eastAsia="ar-SA"/>
        </w:rPr>
        <w:t>20</w:t>
      </w:r>
      <w:r w:rsidR="00944977">
        <w:rPr>
          <w:bCs/>
          <w:lang w:eastAsia="ar-SA"/>
        </w:rPr>
        <w:t>20</w:t>
      </w:r>
      <w:r w:rsidRPr="00E24A2B">
        <w:rPr>
          <w:bCs/>
          <w:lang w:eastAsia="ar-SA"/>
        </w:rPr>
        <w:t xml:space="preserve"> году -  0 %);</w:t>
      </w:r>
      <w:proofErr w:type="gramEnd"/>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 (в 20</w:t>
      </w:r>
      <w:r w:rsidR="00944977">
        <w:rPr>
          <w:bCs/>
          <w:lang w:eastAsia="ar-SA"/>
        </w:rPr>
        <w:t>20</w:t>
      </w:r>
      <w:proofErr w:type="gramEnd"/>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 (в 20</w:t>
      </w:r>
      <w:r w:rsidR="00944977">
        <w:rPr>
          <w:bCs/>
          <w:lang w:eastAsia="ar-SA"/>
        </w:rPr>
        <w:t>20</w:t>
      </w:r>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Pr="00E24A2B">
        <w:t xml:space="preserve"> </w:t>
      </w:r>
      <w:r w:rsidR="00042AA2">
        <w:t>–</w:t>
      </w:r>
      <w:r w:rsidRPr="00E24A2B">
        <w:t xml:space="preserve"> </w:t>
      </w:r>
      <w:r w:rsidR="00042AA2">
        <w:t>6,67</w:t>
      </w:r>
      <w:r w:rsidRPr="00E24A2B">
        <w:t xml:space="preserve"> </w:t>
      </w:r>
      <w:r w:rsidRPr="00E24A2B">
        <w:rPr>
          <w:bCs/>
          <w:lang w:eastAsia="ar-SA"/>
        </w:rPr>
        <w:t>% (в 20</w:t>
      </w:r>
      <w:r w:rsidR="00944977">
        <w:rPr>
          <w:bCs/>
          <w:lang w:eastAsia="ar-SA"/>
        </w:rPr>
        <w:t>20</w:t>
      </w:r>
      <w:r w:rsidRPr="00E24A2B">
        <w:rPr>
          <w:bCs/>
          <w:lang w:eastAsia="ar-SA"/>
        </w:rPr>
        <w:t xml:space="preserve"> году - </w:t>
      </w:r>
      <w:r w:rsidR="00944977">
        <w:t>0</w:t>
      </w:r>
      <w:r w:rsidRPr="00E24A2B">
        <w:rPr>
          <w:bCs/>
          <w:lang w:eastAsia="ar-SA"/>
        </w:rPr>
        <w:t xml:space="preserve">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отношение суммы взысканных административных штрафов к общей сумме наложенных административных штрафов (в </w:t>
      </w:r>
      <w:proofErr w:type="gramStart"/>
      <w:r w:rsidRPr="00E24A2B">
        <w:rPr>
          <w:bCs/>
          <w:lang w:eastAsia="ar-SA"/>
        </w:rPr>
        <w:t>процентах</w:t>
      </w:r>
      <w:proofErr w:type="gramEnd"/>
      <w:r w:rsidRPr="00E24A2B">
        <w:rPr>
          <w:bCs/>
          <w:lang w:eastAsia="ar-SA"/>
        </w:rPr>
        <w:t>) –</w:t>
      </w:r>
      <w:r w:rsidR="00042AA2">
        <w:rPr>
          <w:bCs/>
          <w:lang w:eastAsia="ar-SA"/>
        </w:rPr>
        <w:t xml:space="preserve"> 1,88</w:t>
      </w:r>
      <w:r w:rsidRPr="00E24A2B">
        <w:rPr>
          <w:bCs/>
          <w:lang w:eastAsia="ar-SA"/>
        </w:rPr>
        <w:t xml:space="preserve"> % (в 20</w:t>
      </w:r>
      <w:r w:rsidR="00042AA2">
        <w:rPr>
          <w:bCs/>
          <w:lang w:eastAsia="ar-SA"/>
        </w:rPr>
        <w:t>20</w:t>
      </w:r>
      <w:r w:rsidRPr="00E24A2B">
        <w:rPr>
          <w:bCs/>
          <w:lang w:eastAsia="ar-SA"/>
        </w:rPr>
        <w:t xml:space="preserve"> году - </w:t>
      </w:r>
      <w:r w:rsidR="00042AA2">
        <w:rPr>
          <w:bCs/>
          <w:lang w:eastAsia="ar-SA"/>
        </w:rPr>
        <w:t>0</w:t>
      </w:r>
      <w:r w:rsidRPr="00E24A2B">
        <w:rPr>
          <w:bCs/>
          <w:lang w:eastAsia="ar-SA"/>
        </w:rPr>
        <w:t xml:space="preserve">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средний размер наложенного административного штрафа в том числе на должностных лиц и юридических лиц (в тыс. рублей) – </w:t>
      </w:r>
      <w:r w:rsidR="0078227B">
        <w:rPr>
          <w:bCs/>
          <w:lang w:eastAsia="ar-SA"/>
        </w:rPr>
        <w:t>56</w:t>
      </w:r>
      <w:r w:rsidR="001C61B9">
        <w:rPr>
          <w:bCs/>
          <w:lang w:eastAsia="ar-SA"/>
        </w:rPr>
        <w:t>,5</w:t>
      </w:r>
      <w:bookmarkStart w:id="0" w:name="_GoBack"/>
      <w:bookmarkEnd w:id="0"/>
      <w:r w:rsidR="001C61B9">
        <w:rPr>
          <w:bCs/>
          <w:lang w:eastAsia="ar-SA"/>
        </w:rPr>
        <w:t xml:space="preserve"> </w:t>
      </w:r>
      <w:r w:rsidR="001C61B9" w:rsidRPr="00E24A2B">
        <w:rPr>
          <w:bCs/>
          <w:lang w:eastAsia="ar-SA"/>
        </w:rPr>
        <w:t>тыс. рублей</w:t>
      </w:r>
      <w:r w:rsidR="001C61B9">
        <w:rPr>
          <w:bCs/>
          <w:lang w:eastAsia="ar-SA"/>
        </w:rPr>
        <w:t xml:space="preserve">, </w:t>
      </w:r>
      <w:r w:rsidRPr="00E24A2B">
        <w:rPr>
          <w:bCs/>
          <w:lang w:eastAsia="ar-SA"/>
        </w:rPr>
        <w:t xml:space="preserve"> (в 20</w:t>
      </w:r>
      <w:r w:rsidR="00187CDE">
        <w:rPr>
          <w:bCs/>
          <w:lang w:eastAsia="ar-SA"/>
        </w:rPr>
        <w:t>20</w:t>
      </w:r>
      <w:r w:rsidRPr="00E24A2B">
        <w:rPr>
          <w:bCs/>
          <w:lang w:eastAsia="ar-SA"/>
        </w:rPr>
        <w:t xml:space="preserve"> году </w:t>
      </w:r>
      <w:r w:rsidR="001C61B9">
        <w:rPr>
          <w:bCs/>
          <w:lang w:eastAsia="ar-SA"/>
        </w:rPr>
        <w:t>–</w:t>
      </w:r>
      <w:r w:rsidRPr="00E24A2B">
        <w:rPr>
          <w:bCs/>
          <w:lang w:eastAsia="ar-SA"/>
        </w:rPr>
        <w:t xml:space="preserve"> </w:t>
      </w:r>
      <w:r w:rsidR="001C61B9">
        <w:rPr>
          <w:bCs/>
          <w:lang w:eastAsia="ar-SA"/>
        </w:rPr>
        <w:t>0,00</w:t>
      </w:r>
      <w:r w:rsidRPr="00E24A2B">
        <w:rPr>
          <w:bCs/>
          <w:lang w:eastAsia="ar-SA"/>
        </w:rPr>
        <w:t xml:space="preserve"> тыс. рублей);</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 (в 20</w:t>
      </w:r>
      <w:r w:rsidR="001C61B9">
        <w:rPr>
          <w:bCs/>
          <w:lang w:eastAsia="ar-SA"/>
        </w:rPr>
        <w:t>20</w:t>
      </w:r>
      <w:r w:rsidRPr="00E24A2B">
        <w:rPr>
          <w:bCs/>
          <w:lang w:eastAsia="ar-SA"/>
        </w:rPr>
        <w:t xml:space="preserve"> году - </w:t>
      </w:r>
      <w:r w:rsidR="001C61B9">
        <w:rPr>
          <w:bCs/>
          <w:lang w:eastAsia="ar-SA"/>
        </w:rPr>
        <w:t>0</w:t>
      </w:r>
      <w:r w:rsidRPr="00E24A2B">
        <w:rPr>
          <w:bCs/>
          <w:lang w:eastAsia="ar-SA"/>
        </w:rPr>
        <w:t xml:space="preserve"> %).</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24A2B" w:rsidRDefault="00886888" w:rsidP="00886888">
      <w:pPr>
        <w:rPr>
          <w:sz w:val="32"/>
          <w:szCs w:val="32"/>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а) 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 202</w:t>
      </w:r>
      <w:r w:rsidR="007163E4">
        <w:rPr>
          <w:bCs/>
          <w:lang w:eastAsia="ar-SA"/>
        </w:rPr>
        <w:t>2</w:t>
      </w:r>
      <w:r w:rsidRPr="00E24A2B">
        <w:rPr>
          <w:bCs/>
          <w:lang w:eastAsia="ar-SA"/>
        </w:rPr>
        <w:t xml:space="preserve"> году Департамент продолжит осуществлять контроль (надзор) в области долевого строительства путем мониторинга информации в средствах массовой информации и сети «Интернет» о продаже объектов долевого строительства; анализа ежеквартальной отчетности застройщиков; рассмотрения проектных деклараций; проведения внеплановых проверок; проведения мероприятий по профилактике нарушений требований, установленных Федеральным законом от 30.12.2004 № 214-ФЗ, проведения мероприятий по контролю, осуществляемых без взаимодействия с юридическими лицами, </w:t>
      </w:r>
      <w:r w:rsidRPr="00E24A2B">
        <w:rPr>
          <w:bCs/>
          <w:lang w:eastAsia="ar-SA"/>
        </w:rPr>
        <w:lastRenderedPageBreak/>
        <w:t>принятия предусмотренных законодательством Российской Федерации мер по пресечению и (или) устранению выявленных нарушений.</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б)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p w:rsidR="005B456A" w:rsidRPr="00E24A2B" w:rsidRDefault="005B456A" w:rsidP="005B456A">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E24A2B">
        <w:rPr>
          <w:lang w:eastAsia="ar-SA"/>
        </w:rPr>
        <w:t>- предложения отсутствуют.</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E24A2B">
        <w:rPr>
          <w:lang w:eastAsia="ar-SA"/>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E24A2B">
        <w:rPr>
          <w:lang w:eastAsia="ar-SA"/>
        </w:rPr>
        <w:t>- предложения отсутствуют.</w:t>
      </w:r>
    </w:p>
    <w:p w:rsidR="00404177" w:rsidRDefault="00404177" w:rsidP="00886888">
      <w:pPr>
        <w:rPr>
          <w:sz w:val="32"/>
          <w:szCs w:val="32"/>
          <w:lang w:val="en-US"/>
        </w:rPr>
      </w:pPr>
    </w:p>
    <w:p w:rsidR="00404177" w:rsidRPr="00404177" w:rsidRDefault="00404177" w:rsidP="00886888">
      <w:pPr>
        <w:rPr>
          <w:sz w:val="32"/>
          <w:szCs w:val="32"/>
          <w:lang w:val="en-US"/>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E24A2B" w:rsidRDefault="00404177" w:rsidP="00886888">
      <w:pPr>
        <w:rPr>
          <w:sz w:val="32"/>
          <w:szCs w:val="32"/>
        </w:rPr>
      </w:pPr>
    </w:p>
    <w:p w:rsidR="00404177" w:rsidRDefault="00E24A2B" w:rsidP="00E24A2B">
      <w:pPr>
        <w:ind w:firstLine="708"/>
        <w:rPr>
          <w:sz w:val="32"/>
          <w:szCs w:val="32"/>
          <w:lang w:val="en-US"/>
        </w:rPr>
      </w:pPr>
      <w:r>
        <w:t>Нет.</w:t>
      </w:r>
    </w:p>
    <w:p w:rsidR="00404177" w:rsidRPr="00404177" w:rsidRDefault="00404177" w:rsidP="00886888">
      <w:pPr>
        <w:rPr>
          <w:sz w:val="32"/>
          <w:szCs w:val="32"/>
          <w:lang w:val="en-US"/>
        </w:rPr>
      </w:pPr>
    </w:p>
    <w:sectPr w:rsidR="00404177" w:rsidRPr="00404177"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EC" w:rsidRDefault="002E1AEC" w:rsidP="00404177">
      <w:r>
        <w:separator/>
      </w:r>
    </w:p>
  </w:endnote>
  <w:endnote w:type="continuationSeparator" w:id="0">
    <w:p w:rsidR="002E1AEC" w:rsidRDefault="002E1AEC"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EC" w:rsidRDefault="002E1AEC">
    <w:pPr>
      <w:pStyle w:val="a5"/>
      <w:jc w:val="center"/>
    </w:pPr>
    <w:r>
      <w:fldChar w:fldCharType="begin"/>
    </w:r>
    <w:r>
      <w:instrText xml:space="preserve"> PAGE   \* MERGEFORMAT </w:instrText>
    </w:r>
    <w:r>
      <w:fldChar w:fldCharType="separate"/>
    </w:r>
    <w:r w:rsidR="0078227B">
      <w:rPr>
        <w:noProof/>
      </w:rPr>
      <w:t>10</w:t>
    </w:r>
    <w:r>
      <w:fldChar w:fldCharType="end"/>
    </w:r>
  </w:p>
  <w:p w:rsidR="002E1AEC" w:rsidRDefault="002E1A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EC" w:rsidRDefault="002E1AEC" w:rsidP="00404177">
      <w:r>
        <w:separator/>
      </w:r>
    </w:p>
  </w:footnote>
  <w:footnote w:type="continuationSeparator" w:id="0">
    <w:p w:rsidR="002E1AEC" w:rsidRDefault="002E1AEC"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EC" w:rsidRPr="00404177" w:rsidRDefault="002E1AEC"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42AA2"/>
    <w:rsid w:val="000A0A61"/>
    <w:rsid w:val="00187CDE"/>
    <w:rsid w:val="001A4792"/>
    <w:rsid w:val="001C61B9"/>
    <w:rsid w:val="002E1AEC"/>
    <w:rsid w:val="00404177"/>
    <w:rsid w:val="0042029C"/>
    <w:rsid w:val="005542D8"/>
    <w:rsid w:val="005A1F26"/>
    <w:rsid w:val="005B456A"/>
    <w:rsid w:val="005B5D4B"/>
    <w:rsid w:val="005F6E72"/>
    <w:rsid w:val="006961EB"/>
    <w:rsid w:val="007163E4"/>
    <w:rsid w:val="007508F3"/>
    <w:rsid w:val="00755FAF"/>
    <w:rsid w:val="0078227B"/>
    <w:rsid w:val="0083213D"/>
    <w:rsid w:val="00843529"/>
    <w:rsid w:val="00886888"/>
    <w:rsid w:val="008A0EF2"/>
    <w:rsid w:val="008B112C"/>
    <w:rsid w:val="008E7D6B"/>
    <w:rsid w:val="00944977"/>
    <w:rsid w:val="009623CE"/>
    <w:rsid w:val="00973CAF"/>
    <w:rsid w:val="00A6696F"/>
    <w:rsid w:val="00AC64D8"/>
    <w:rsid w:val="00B46022"/>
    <w:rsid w:val="00B628C6"/>
    <w:rsid w:val="00BF2D40"/>
    <w:rsid w:val="00CD6E5D"/>
    <w:rsid w:val="00D524F4"/>
    <w:rsid w:val="00DA0BF9"/>
    <w:rsid w:val="00DD671F"/>
    <w:rsid w:val="00E11FCB"/>
    <w:rsid w:val="00E133F5"/>
    <w:rsid w:val="00E14580"/>
    <w:rsid w:val="00E150C0"/>
    <w:rsid w:val="00E24A2B"/>
    <w:rsid w:val="00E30A6D"/>
    <w:rsid w:val="00E823FF"/>
    <w:rsid w:val="00E852FD"/>
    <w:rsid w:val="00EC482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pstroy.tom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4728</Words>
  <Characters>26953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2021-01-29T03:25:00Z</dcterms:created>
  <dcterms:modified xsi:type="dcterms:W3CDTF">2022-01-19T06:26:00Z</dcterms:modified>
</cp:coreProperties>
</file>